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fr-FR"/>
        </w:rPr>
      </w:pPr>
      <w:r w:rsidRPr="00CC3D66">
        <w:rPr>
          <w:rFonts w:ascii="Times New Roman" w:eastAsia="Times New Roman" w:hAnsi="Times New Roman" w:cs="Times New Roman"/>
          <w:b/>
          <w:smallCaps/>
          <w:color w:val="2E74B5" w:themeColor="accent1" w:themeShade="BF"/>
          <w:sz w:val="28"/>
          <w:szCs w:val="28"/>
          <w:lang w:eastAsia="fr-FR"/>
        </w:rPr>
        <w:t>Van Gogh</w:t>
      </w:r>
      <w:r w:rsidRPr="00CC3D66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fr-FR"/>
        </w:rPr>
        <w:t xml:space="preserve"> (Vincent Willem)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40B">
        <w:rPr>
          <w:rFonts w:ascii="Times New Roman" w:eastAsia="Times New Roman" w:hAnsi="Times New Roman" w:cs="Times New Roman"/>
          <w:sz w:val="24"/>
          <w:szCs w:val="24"/>
          <w:lang w:eastAsia="fr-FR"/>
        </w:rPr>
        <w:t>Peintre</w:t>
      </w:r>
      <w:r w:rsidRPr="00CC3D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dessinateur néerlandais </w:t>
      </w:r>
      <w:r w:rsidRPr="00E5440B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E5440B">
        <w:rPr>
          <w:rFonts w:ascii="Times New Roman" w:eastAsia="Times New Roman" w:hAnsi="Times New Roman" w:cs="Times New Roman"/>
          <w:sz w:val="24"/>
          <w:szCs w:val="24"/>
          <w:lang w:eastAsia="fr-FR"/>
        </w:rPr>
        <w:t>Groot-Zundert</w:t>
      </w:r>
      <w:proofErr w:type="spellEnd"/>
      <w:r w:rsidRPr="00E5440B">
        <w:rPr>
          <w:rFonts w:ascii="Times New Roman" w:eastAsia="Times New Roman" w:hAnsi="Times New Roman" w:cs="Times New Roman"/>
          <w:sz w:val="24"/>
          <w:szCs w:val="24"/>
          <w:lang w:eastAsia="fr-FR"/>
        </w:rPr>
        <w:t>, Brabant 1853 ~ Auvers-sur-Oise 1890)</w:t>
      </w:r>
      <w:r w:rsidRPr="00CC3D6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■ Fils de pasteur calviniste, il devint employé à la galerie d'art Goupil à La Haye (1869), à Londres (1873-1874) puis à Paris (1874-1875). Esprit tourmenté, profondément mystique, il obtint une mission évangéliste chez les mineurs du Borinage qui se solda par un douloureux échec.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color w:val="C00000"/>
          <w:sz w:val="20"/>
          <w:szCs w:val="20"/>
          <w:lang w:eastAsia="fr-FR"/>
        </w:rPr>
        <w:t>■ Anvers et les premières œuvres.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1880 il alla étudier le dessin à Anvers, fit des croquis de mineurs inspirés de </w:t>
      </w:r>
      <w:r w:rsidR="00E5440B">
        <w:rPr>
          <w:rFonts w:ascii="Times New Roman" w:eastAsia="Times New Roman" w:hAnsi="Times New Roman" w:cs="Times New Roman"/>
          <w:sz w:val="20"/>
          <w:szCs w:val="20"/>
          <w:lang w:eastAsia="fr-FR"/>
        </w:rPr>
        <w:t>Millet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auquel il voua toujours une profonde admiration. En 1882 il alla travailler auprès de son cousin le peintre Mauve, exécuta de nombreux dessins et aquarelles et s'initia à la peinture à l'huile. Chez son père, au presbytère de </w:t>
      </w:r>
      <w:proofErr w:type="spellStart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Nuenen</w:t>
      </w:r>
      <w:proofErr w:type="spellEnd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(décembre 1883-1885), il travailla avec acharnement, réalisant des paysages, des natures mortes et des scènes de la vie paysanne d'un sombre réalisme déjà révélateur de sa sensibilité inquiète et véhémente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Mangeurs de pommes de terre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, 1885). Au cours d'un séjour à Anvers (1885-1886), il admira les Rubens et eut la révélation des estampes japonaises, qui l'incitèrent à modifier sa conception de la couleur.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color w:val="C00000"/>
          <w:sz w:val="20"/>
          <w:szCs w:val="20"/>
          <w:lang w:eastAsia="fr-FR"/>
        </w:rPr>
        <w:t>■ Paris.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Après quelques œuvres dans la même veine réaliste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Souliers avec lacets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1886), il rejoignit à Paris son frère Théo qui ne cessa de lui marquer sa confiance et de l'aider matériellement (leur correspondance a été publiée :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Lettres à Théo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). Il suivit des cours à l'atelier </w:t>
      </w:r>
      <w:proofErr w:type="spellStart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Cormon</w:t>
      </w:r>
      <w:proofErr w:type="spellEnd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, y rencontra Toulouse-Lautrec et É. Bernard, qui le présenta à Gauguin</w:t>
      </w:r>
      <w:bookmarkStart w:id="0" w:name="_GoBack"/>
      <w:bookmarkEnd w:id="0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. Surtout influencé par les toiles impressionnistes, il adopta alors des couleurs très claires et une touche fragmentée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Tournesols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été 1887) ; il admirait la technique de Monticelli et copia avec ferveur Hiroshige. Dans cette période d'essai transparaît déjà sa forte personnalité (autoportraits,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 Père Tanguy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, 1888).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color w:val="C00000"/>
          <w:sz w:val="20"/>
          <w:szCs w:val="20"/>
          <w:lang w:eastAsia="fr-FR"/>
        </w:rPr>
        <w:t>■ Arles.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février 1888 il alla s'installer à Arles et, durant une intense période de création, il accumula les paysages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Vue d'Arles aux iris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Plaine de Crau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Barques sur la plage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, la série des « Tournesols ») et les portraits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L'Arlésienne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fr-FR"/>
        </w:rPr>
        <w:t>me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 </w:t>
      </w:r>
      <w:proofErr w:type="spellStart"/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Ginoux</w:t>
      </w:r>
      <w:proofErr w:type="spellEnd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). S'écartant de la représentation traditionnelle et de la perspective illusionniste, il simplifia les formes et pratiqua un </w:t>
      </w:r>
      <w:proofErr w:type="spellStart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colorisme</w:t>
      </w:r>
      <w:proofErr w:type="spellEnd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éclatant en affranchissant la couleur de sa fonction descriptive pour exprimer avec plus de force « les terribles passions humaines ».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Il voulut créer un phalanstère d'artistes et persuada Gauguin de venir le rejoindre (octobre 1888), mais, à la suite d'une violente dispute, ce dernier le quitta et Van Gogh, en proie au délire, se mutila l'oreille gauche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Autoportrait à l'oreille coupée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Portrait du docteur Rey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Berceuse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). Souffrant d'hallucinations, il fut interné à Arles, puis à Saint-Rémy-de-Provence (1889-1890). Entre deux crises il continuait à travailler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Blés jaunes au cyprès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Nuit étoilée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Champ d'oliviers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), modelant les volumes d'une touche fortement apparente et construisant les formes à partir d'hallucinantes volutes aux couleurs intenses.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color w:val="C00000"/>
          <w:sz w:val="20"/>
          <w:szCs w:val="20"/>
          <w:lang w:eastAsia="fr-FR"/>
        </w:rPr>
        <w:t>■ Auvers-sur-Oise.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Rentré à Paris en mai 1890, il alla finalement s'installer à Auvers-sur-Oise, surveillé par le docteur Gachet, ami de Pissarro et de Cézanne. Dans certaines œuvres son style s'exacerbe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L'Église d'</w:t>
      </w:r>
      <w:proofErr w:type="spellStart"/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Auvers</w:t>
      </w:r>
      <w:proofErr w:type="spellEnd"/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, 1890), mais parfois sa facture plus large semble perdre son caractère tourmenté et exprimer un lyrisme dramatique (</w:t>
      </w:r>
      <w:r w:rsidRPr="00CC3D66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 Champ de blé aux corbeaux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>). Le 27 juillet 1890 il se tira un coup de pistolet dans la poitrine et mourut le surlendemain, presque inconnu.</w:t>
      </w:r>
    </w:p>
    <w:p w:rsidR="00CC3D66" w:rsidRPr="00CC3D66" w:rsidRDefault="00CC3D66" w:rsidP="00CC3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C3D66">
        <w:rPr>
          <w:rFonts w:ascii="Times New Roman" w:eastAsia="Times New Roman" w:hAnsi="Times New Roman" w:cs="Times New Roman"/>
          <w:color w:val="C00000"/>
          <w:sz w:val="20"/>
          <w:szCs w:val="20"/>
          <w:lang w:eastAsia="fr-FR"/>
        </w:rPr>
        <w:t>■ Un précurseur de l'expressionnisme.</w:t>
      </w:r>
      <w:r w:rsidRPr="00CC3D6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Dans la mesure où il se servit de la couleur « plus arbitrairement pour s'exprimer fortement », il fut un précurseur des fauves et surtout de l'expressionnisme.</w:t>
      </w:r>
    </w:p>
    <w:p w:rsidR="001D7D12" w:rsidRDefault="00F37ACA"/>
    <w:sectPr w:rsidR="001D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66"/>
    <w:rsid w:val="004C62EB"/>
    <w:rsid w:val="00CC3D66"/>
    <w:rsid w:val="00DE52D6"/>
    <w:rsid w:val="00E5440B"/>
    <w:rsid w:val="00F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92B5"/>
  <w15:chartTrackingRefBased/>
  <w15:docId w15:val="{BFD35913-4F44-4A52-8955-B3EFFBA9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2ent">
    <w:name w:val="p2_ent"/>
    <w:basedOn w:val="Policepardfaut"/>
    <w:rsid w:val="00CC3D66"/>
  </w:style>
  <w:style w:type="character" w:customStyle="1" w:styleId="autoselectword">
    <w:name w:val="autoselectword"/>
    <w:basedOn w:val="Policepardfaut"/>
    <w:rsid w:val="00CC3D66"/>
  </w:style>
  <w:style w:type="character" w:customStyle="1" w:styleId="p2x">
    <w:name w:val="p2_x"/>
    <w:basedOn w:val="Policepardfaut"/>
    <w:rsid w:val="00CC3D66"/>
  </w:style>
  <w:style w:type="character" w:customStyle="1" w:styleId="p2cnt">
    <w:name w:val="p2_cnt"/>
    <w:basedOn w:val="Policepardfaut"/>
    <w:rsid w:val="00CC3D66"/>
  </w:style>
  <w:style w:type="character" w:customStyle="1" w:styleId="p2ttb">
    <w:name w:val="p2_ttb"/>
    <w:basedOn w:val="Policepardfaut"/>
    <w:rsid w:val="00CC3D66"/>
  </w:style>
  <w:style w:type="character" w:customStyle="1" w:styleId="clickable">
    <w:name w:val="clickable"/>
    <w:basedOn w:val="Policepardfaut"/>
    <w:rsid w:val="00CC3D66"/>
  </w:style>
  <w:style w:type="character" w:customStyle="1" w:styleId="p2ops">
    <w:name w:val="p2_ops"/>
    <w:basedOn w:val="Policepardfaut"/>
    <w:rsid w:val="00CC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Decottignies.Sarah</dc:creator>
  <cp:keywords/>
  <dc:description/>
  <cp:lastModifiedBy>Decottignies.Sarah</cp:lastModifiedBy>
  <cp:revision>2</cp:revision>
  <dcterms:created xsi:type="dcterms:W3CDTF">2019-07-05T12:46:00Z</dcterms:created>
  <dcterms:modified xsi:type="dcterms:W3CDTF">2019-07-05T14:16:00Z</dcterms:modified>
</cp:coreProperties>
</file>